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4" w:rsidRPr="00AB4909" w:rsidRDefault="00CA0632" w:rsidP="00D7449B">
      <w:pPr>
        <w:pStyle w:val="Nagwek3"/>
      </w:pPr>
      <w:r w:rsidRPr="00AB4909">
        <w:t xml:space="preserve">UMOWA NR </w:t>
      </w:r>
      <w:r w:rsidR="00305B0A" w:rsidRPr="00AB4909">
        <w:t xml:space="preserve"> ZO/</w:t>
      </w:r>
      <w:r w:rsidR="00074028">
        <w:t>WM/</w:t>
      </w:r>
      <w:r w:rsidR="00AD65A4" w:rsidRPr="00AB4909">
        <w:t>K-DZP</w:t>
      </w:r>
      <w:r w:rsidR="00471E98" w:rsidRPr="00AB4909">
        <w:t>.263.</w:t>
      </w:r>
      <w:r w:rsidR="00074028">
        <w:t>002.2021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>Wiejska 45A, NIP 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ED0C36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ED0C36">
        <w:rPr>
          <w:rFonts w:asciiTheme="minorHAnsi" w:hAnsiTheme="minorHAnsi"/>
          <w:sz w:val="22"/>
          <w:szCs w:val="22"/>
        </w:rPr>
        <w:t xml:space="preserve">: 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ED0C36">
        <w:rPr>
          <w:rFonts w:asciiTheme="minorHAnsi" w:hAnsiTheme="minorHAnsi"/>
          <w:b/>
          <w:sz w:val="22"/>
          <w:szCs w:val="22"/>
        </w:rPr>
        <w:t>Dostawa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ED0C36">
        <w:rPr>
          <w:rFonts w:asciiTheme="minorHAnsi" w:hAnsiTheme="minorHAnsi"/>
          <w:b/>
          <w:sz w:val="22"/>
          <w:szCs w:val="22"/>
        </w:rPr>
        <w:t>odczynnik</w:t>
      </w:r>
      <w:r w:rsidR="006D6B73" w:rsidRPr="00ED0C36">
        <w:rPr>
          <w:rFonts w:asciiTheme="minorHAnsi" w:hAnsiTheme="minorHAnsi"/>
          <w:b/>
          <w:sz w:val="22"/>
          <w:szCs w:val="22"/>
        </w:rPr>
        <w:t>ów</w:t>
      </w:r>
      <w:r w:rsidR="00723B86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ED0C36">
        <w:rPr>
          <w:rFonts w:asciiTheme="minorHAnsi" w:hAnsiTheme="minorHAnsi" w:cs="Tahoma"/>
          <w:sz w:val="22"/>
          <w:szCs w:val="22"/>
        </w:rPr>
        <w:t>w</w:t>
      </w:r>
      <w:r w:rsidR="00A15C38" w:rsidRPr="00ED0C36">
        <w:rPr>
          <w:rFonts w:asciiTheme="minorHAnsi" w:hAnsiTheme="minorHAnsi" w:cs="Tahoma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ED0C36">
        <w:rPr>
          <w:rFonts w:asciiTheme="minorHAnsi" w:hAnsiTheme="minorHAnsi"/>
          <w:sz w:val="22"/>
          <w:szCs w:val="22"/>
        </w:rPr>
        <w:t>Z</w:t>
      </w:r>
      <w:r w:rsidR="00A73D26" w:rsidRPr="00ED0C36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ED0C36">
        <w:rPr>
          <w:rFonts w:asciiTheme="minorHAnsi" w:hAnsiTheme="minorHAnsi"/>
          <w:sz w:val="22"/>
          <w:szCs w:val="22"/>
        </w:rPr>
        <w:t>O</w:t>
      </w:r>
      <w:r w:rsidR="00A73D26" w:rsidRPr="00ED0C36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ED0C36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ED0C36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ED0C36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ED0C36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ED0C36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Termin wykonania zamówienia: </w:t>
      </w:r>
      <w:r w:rsidR="00074028">
        <w:rPr>
          <w:rFonts w:asciiTheme="minorHAnsi" w:hAnsiTheme="minorHAnsi"/>
          <w:b/>
          <w:sz w:val="22"/>
          <w:szCs w:val="22"/>
        </w:rPr>
        <w:t xml:space="preserve">30 </w:t>
      </w:r>
      <w:r w:rsidR="00156138" w:rsidRPr="00ED0C36">
        <w:rPr>
          <w:rFonts w:asciiTheme="minorHAnsi" w:hAnsiTheme="minorHAnsi"/>
          <w:b/>
          <w:sz w:val="22"/>
          <w:szCs w:val="22"/>
        </w:rPr>
        <w:t xml:space="preserve">dni </w:t>
      </w:r>
      <w:r w:rsidR="008D2A7A" w:rsidRPr="00ED0C36">
        <w:rPr>
          <w:rFonts w:asciiTheme="minorHAnsi" w:hAnsiTheme="minorHAnsi"/>
          <w:b/>
          <w:sz w:val="22"/>
          <w:szCs w:val="22"/>
        </w:rPr>
        <w:t>kalendarzowych</w:t>
      </w:r>
      <w:r w:rsidR="008D2A7A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sz w:val="22"/>
          <w:szCs w:val="22"/>
        </w:rPr>
        <w:t xml:space="preserve">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097CE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 xml:space="preserve">dostarczone odczynniki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ED0C36">
        <w:rPr>
          <w:rFonts w:asciiTheme="minorHAnsi" w:hAnsiTheme="minorHAnsi"/>
          <w:spacing w:val="-2"/>
          <w:sz w:val="22"/>
          <w:szCs w:val="22"/>
        </w:rPr>
        <w:t>będzie data i czytelny podpis odbierającego na liście przewozowym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, 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lastRenderedPageBreak/>
        <w:t>fakturze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ED0C36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ED0C36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ED0C36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ED0C36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 sytuacji stwierdzenia przez Zamawiającego podczas odbioru braków ilościowych lub uszkodzenia towaru, Wykonawca zobowiązu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je się do dostarczenia brakującego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0D1F57" w:rsidRPr="00ED0C36">
        <w:rPr>
          <w:rFonts w:asciiTheme="minorHAnsi" w:hAnsiTheme="minorHAnsi"/>
          <w:spacing w:val="-2"/>
          <w:sz w:val="22"/>
          <w:szCs w:val="22"/>
        </w:rPr>
        <w:t>lub nieuszkodzon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ego towaru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ED0C36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ED0C36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ED0C36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ED0C36">
        <w:rPr>
          <w:rFonts w:asciiTheme="minorHAnsi" w:hAnsiTheme="minorHAnsi"/>
          <w:sz w:val="22"/>
          <w:szCs w:val="22"/>
        </w:rPr>
        <w:t xml:space="preserve">(przydatności do użycia) </w:t>
      </w:r>
      <w:r w:rsidR="00557AB7">
        <w:rPr>
          <w:rFonts w:asciiTheme="minorHAnsi" w:hAnsiTheme="minorHAnsi"/>
          <w:b/>
          <w:sz w:val="22"/>
          <w:szCs w:val="22"/>
        </w:rPr>
        <w:t>…..</w:t>
      </w:r>
      <w:bookmarkStart w:id="0" w:name="_GoBack"/>
      <w:bookmarkEnd w:id="0"/>
      <w:r w:rsidR="00923B12">
        <w:rPr>
          <w:rFonts w:asciiTheme="minorHAnsi" w:hAnsiTheme="minorHAnsi"/>
          <w:b/>
          <w:sz w:val="22"/>
          <w:szCs w:val="22"/>
        </w:rPr>
        <w:t xml:space="preserve"> miesięcy</w:t>
      </w:r>
      <w:r w:rsidRPr="00ED0C36">
        <w:rPr>
          <w:rFonts w:asciiTheme="minorHAnsi" w:hAnsiTheme="minorHAnsi"/>
          <w:sz w:val="22"/>
          <w:szCs w:val="22"/>
        </w:rPr>
        <w:t xml:space="preserve"> od daty dostarczenia </w:t>
      </w:r>
      <w:r w:rsidR="00923B12">
        <w:rPr>
          <w:rFonts w:asciiTheme="minorHAnsi" w:hAnsiTheme="minorHAnsi"/>
          <w:sz w:val="22"/>
          <w:szCs w:val="22"/>
        </w:rPr>
        <w:t xml:space="preserve">odczynników </w:t>
      </w:r>
      <w:r w:rsidR="00765F9C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 razie stwierdzeni</w:t>
      </w:r>
      <w:r w:rsidR="00765F9C" w:rsidRPr="00ED0C36">
        <w:rPr>
          <w:rFonts w:asciiTheme="minorHAnsi" w:hAnsiTheme="minorHAnsi"/>
          <w:sz w:val="22"/>
          <w:szCs w:val="22"/>
        </w:rPr>
        <w:t xml:space="preserve">a wad jakościowych dostarczonych </w:t>
      </w:r>
      <w:r w:rsidR="00050AB4" w:rsidRPr="00ED0C36">
        <w:rPr>
          <w:rFonts w:asciiTheme="minorHAnsi" w:hAnsiTheme="minorHAnsi"/>
          <w:sz w:val="22"/>
          <w:szCs w:val="22"/>
        </w:rPr>
        <w:t>towarów</w:t>
      </w:r>
      <w:r w:rsidRPr="00ED0C36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zobowiązuje się wymienić wadliw</w:t>
      </w:r>
      <w:r w:rsidR="00765F9C" w:rsidRPr="00ED0C36">
        <w:rPr>
          <w:rFonts w:asciiTheme="minorHAnsi" w:hAnsiTheme="minorHAnsi"/>
          <w:sz w:val="22"/>
          <w:szCs w:val="22"/>
        </w:rPr>
        <w:t>e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050AB4" w:rsidRPr="00ED0C36">
        <w:rPr>
          <w:rFonts w:asciiTheme="minorHAnsi" w:hAnsiTheme="minorHAnsi"/>
          <w:sz w:val="22"/>
          <w:szCs w:val="22"/>
        </w:rPr>
        <w:t>towary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ED0C36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ED0C36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ED0C36">
        <w:rPr>
          <w:rFonts w:asciiTheme="minorHAnsi" w:hAnsiTheme="minorHAnsi" w:cs="TimesNewRomanPSMT"/>
          <w:sz w:val="22"/>
          <w:szCs w:val="22"/>
        </w:rPr>
        <w:t>klamacją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A85D7A" w:rsidRPr="00ED0C36">
        <w:rPr>
          <w:rFonts w:asciiTheme="minorHAnsi" w:hAnsiTheme="minorHAnsi" w:cs="TimesNewRomanPSMT"/>
          <w:sz w:val="22"/>
          <w:szCs w:val="22"/>
        </w:rPr>
        <w:t>towarów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ED0C36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ED0C36">
        <w:rPr>
          <w:rFonts w:asciiTheme="minorHAnsi" w:hAnsiTheme="minorHAnsi"/>
          <w:sz w:val="22"/>
          <w:szCs w:val="22"/>
        </w:rPr>
        <w:t xml:space="preserve">terminie </w:t>
      </w:r>
      <w:r w:rsidRPr="00ED0C36">
        <w:rPr>
          <w:rFonts w:asciiTheme="minorHAnsi" w:hAnsiTheme="minorHAnsi"/>
          <w:sz w:val="22"/>
          <w:szCs w:val="22"/>
        </w:rPr>
        <w:t xml:space="preserve">realizacji </w:t>
      </w:r>
      <w:r w:rsidR="00224A79" w:rsidRPr="00ED0C36">
        <w:rPr>
          <w:rFonts w:asciiTheme="minorHAnsi" w:hAnsiTheme="minorHAnsi"/>
          <w:sz w:val="22"/>
          <w:szCs w:val="22"/>
        </w:rPr>
        <w:t>przedmiotu umowy określon</w:t>
      </w:r>
      <w:r w:rsidR="0094701D" w:rsidRPr="00ED0C36">
        <w:rPr>
          <w:rFonts w:asciiTheme="minorHAnsi" w:hAnsiTheme="minorHAnsi"/>
          <w:sz w:val="22"/>
          <w:szCs w:val="22"/>
        </w:rPr>
        <w:t xml:space="preserve">ym </w:t>
      </w:r>
      <w:r w:rsidRPr="00ED0C36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ED0C36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ED0C36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ED0C36">
        <w:rPr>
          <w:rFonts w:asciiTheme="minorHAnsi" w:hAnsiTheme="minorHAnsi"/>
          <w:sz w:val="22"/>
          <w:szCs w:val="22"/>
        </w:rPr>
        <w:t>6</w:t>
      </w:r>
      <w:r w:rsidRPr="00ED0C36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ED0C36">
        <w:rPr>
          <w:rFonts w:asciiTheme="minorHAnsi" w:hAnsiTheme="minorHAnsi"/>
          <w:sz w:val="22"/>
          <w:szCs w:val="22"/>
        </w:rPr>
        <w:t>a opóźnienie w wymianie wadliw</w:t>
      </w:r>
      <w:r w:rsidR="00B52ADB" w:rsidRPr="00ED0C36">
        <w:rPr>
          <w:rFonts w:asciiTheme="minorHAnsi" w:hAnsiTheme="minorHAnsi"/>
          <w:sz w:val="22"/>
          <w:szCs w:val="22"/>
        </w:rPr>
        <w:t>ego</w:t>
      </w:r>
      <w:r w:rsidR="00AE045A" w:rsidRPr="00ED0C36">
        <w:rPr>
          <w:rFonts w:asciiTheme="minorHAnsi" w:hAnsiTheme="minorHAnsi"/>
          <w:sz w:val="22"/>
          <w:szCs w:val="22"/>
        </w:rPr>
        <w:t xml:space="preserve"> pod względem jakości</w:t>
      </w:r>
      <w:r w:rsidR="00B52ADB" w:rsidRPr="00ED0C36">
        <w:rPr>
          <w:rFonts w:asciiTheme="minorHAnsi" w:hAnsiTheme="minorHAnsi"/>
          <w:sz w:val="22"/>
          <w:szCs w:val="22"/>
        </w:rPr>
        <w:t xml:space="preserve"> towaru 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380336" w:rsidRPr="00ED0C36">
        <w:rPr>
          <w:rFonts w:asciiTheme="minorHAnsi" w:hAnsiTheme="minorHAnsi"/>
          <w:sz w:val="22"/>
          <w:szCs w:val="22"/>
        </w:rPr>
        <w:t xml:space="preserve">w terminie określonym </w:t>
      </w:r>
      <w:r w:rsidRPr="00ED0C36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ED0C36">
        <w:rPr>
          <w:rFonts w:asciiTheme="minorHAnsi" w:hAnsiTheme="minorHAnsi"/>
          <w:sz w:val="22"/>
          <w:szCs w:val="22"/>
        </w:rPr>
        <w:t>wadliw</w:t>
      </w:r>
      <w:r w:rsidR="00B52ADB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2F031E" w:rsidRPr="00ED0C36" w:rsidRDefault="002F031E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12483E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ED0C36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ED0C36">
        <w:rPr>
          <w:rFonts w:asciiTheme="minorHAnsi" w:hAnsiTheme="minorHAnsi"/>
          <w:b/>
          <w:sz w:val="22"/>
          <w:szCs w:val="22"/>
        </w:rPr>
        <w:t>0</w:t>
      </w:r>
    </w:p>
    <w:p w:rsidR="00CA0632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ED0C36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ED0C36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ED0C36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ED0C36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ED0C36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2F031E" w:rsidRDefault="002F031E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12 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ED0C36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Dane osobowe Wykonawcy, jego </w:t>
      </w:r>
      <w:r w:rsidRPr="00ED0C36">
        <w:rPr>
          <w:rFonts w:asciiTheme="minorHAnsi" w:hAnsiTheme="minorHAnsi"/>
          <w:sz w:val="22"/>
          <w:szCs w:val="22"/>
        </w:rPr>
        <w:t>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realizacji umowy nr </w:t>
      </w:r>
      <w:r w:rsidRPr="00ED0C36">
        <w:rPr>
          <w:rFonts w:asciiTheme="minorHAnsi" w:hAnsiTheme="minorHAnsi"/>
          <w:b/>
          <w:sz w:val="22"/>
          <w:szCs w:val="22"/>
        </w:rPr>
        <w:t>ZO/W</w:t>
      </w:r>
      <w:r w:rsidR="00074028">
        <w:rPr>
          <w:rFonts w:asciiTheme="minorHAnsi" w:hAnsiTheme="minorHAnsi"/>
          <w:b/>
          <w:sz w:val="22"/>
          <w:szCs w:val="22"/>
        </w:rPr>
        <w:t>M</w:t>
      </w:r>
      <w:r w:rsidRPr="00ED0C36">
        <w:rPr>
          <w:rFonts w:asciiTheme="minorHAnsi" w:hAnsiTheme="minorHAnsi"/>
          <w:b/>
          <w:sz w:val="22"/>
          <w:szCs w:val="22"/>
        </w:rPr>
        <w:t>/K-DZP.263.</w:t>
      </w:r>
      <w:r w:rsidR="00074028">
        <w:rPr>
          <w:rFonts w:asciiTheme="minorHAnsi" w:hAnsiTheme="minorHAnsi"/>
          <w:b/>
          <w:sz w:val="22"/>
          <w:szCs w:val="22"/>
        </w:rPr>
        <w:t>002.2021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66" w:rsidRDefault="00A74366">
      <w:r>
        <w:separator/>
      </w:r>
    </w:p>
  </w:endnote>
  <w:endnote w:type="continuationSeparator" w:id="0">
    <w:p w:rsidR="00A74366" w:rsidRDefault="00A7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557AB7">
      <w:rPr>
        <w:rFonts w:ascii="Calibri" w:hAnsi="Calibri"/>
        <w:bCs/>
        <w:noProof/>
        <w:sz w:val="16"/>
        <w:szCs w:val="16"/>
      </w:rPr>
      <w:t>3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557AB7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66" w:rsidRDefault="00A74366">
      <w:r>
        <w:separator/>
      </w:r>
    </w:p>
  </w:footnote>
  <w:footnote w:type="continuationSeparator" w:id="0">
    <w:p w:rsidR="00A74366" w:rsidRDefault="00A7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395AA0">
      <w:rPr>
        <w:rFonts w:asciiTheme="majorHAnsi" w:hAnsiTheme="majorHAnsi"/>
        <w:b w:val="0"/>
        <w:i/>
        <w:sz w:val="18"/>
        <w:szCs w:val="18"/>
      </w:rPr>
      <w:t xml:space="preserve">2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074028">
      <w:rPr>
        <w:rFonts w:asciiTheme="majorHAnsi" w:hAnsiTheme="majorHAnsi"/>
        <w:b w:val="0"/>
        <w:i/>
        <w:sz w:val="18"/>
        <w:szCs w:val="18"/>
      </w:rPr>
      <w:t>M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074028">
      <w:rPr>
        <w:rFonts w:asciiTheme="majorHAnsi" w:hAnsiTheme="majorHAnsi"/>
        <w:b w:val="0"/>
        <w:i/>
        <w:sz w:val="18"/>
        <w:szCs w:val="18"/>
      </w:rPr>
      <w:t>002.2021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028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118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AB7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65C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E89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BAD"/>
    <w:rsid w:val="00710F2A"/>
    <w:rsid w:val="00711C16"/>
    <w:rsid w:val="007128B4"/>
    <w:rsid w:val="007134DF"/>
    <w:rsid w:val="00713530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4CBE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A15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B12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36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36C65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2D40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449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615B3"/>
  <w15:docId w15:val="{81CA64DA-1ACC-4566-A0B9-6AA9B6E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70A3-3EA9-4855-BA19-32AA768E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DZP</cp:lastModifiedBy>
  <cp:revision>12</cp:revision>
  <cp:lastPrinted>2020-03-27T11:46:00Z</cp:lastPrinted>
  <dcterms:created xsi:type="dcterms:W3CDTF">2020-11-13T07:04:00Z</dcterms:created>
  <dcterms:modified xsi:type="dcterms:W3CDTF">2021-01-14T07:42:00Z</dcterms:modified>
  <cp:category>SIWZ</cp:category>
</cp:coreProperties>
</file>