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65" w:rsidRPr="00AB1765" w:rsidRDefault="00AB1765" w:rsidP="00AB1765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B1765">
        <w:rPr>
          <w:rFonts w:ascii="Arial Narrow" w:hAnsi="Arial Narrow" w:cs="Arial"/>
          <w:b/>
          <w:sz w:val="24"/>
          <w:szCs w:val="24"/>
        </w:rPr>
        <w:t>Formularz warunków fakultatywnych</w:t>
      </w:r>
      <w:r>
        <w:rPr>
          <w:rFonts w:ascii="Arial Narrow" w:hAnsi="Arial Narrow" w:cs="Arial"/>
          <w:b/>
          <w:sz w:val="24"/>
          <w:szCs w:val="24"/>
        </w:rPr>
        <w:t xml:space="preserve"> (wzór)</w:t>
      </w:r>
    </w:p>
    <w:p w:rsidR="00AB1765" w:rsidRDefault="00AB1765" w:rsidP="00AB176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B1765" w:rsidRDefault="00AB1765" w:rsidP="00AB176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10619"/>
        <w:gridCol w:w="1237"/>
        <w:gridCol w:w="1237"/>
      </w:tblGrid>
      <w:tr w:rsidR="00AB1765" w:rsidRPr="004C24E5" w:rsidTr="00E84409">
        <w:trPr>
          <w:trHeight w:val="540"/>
        </w:trPr>
        <w:tc>
          <w:tcPr>
            <w:tcW w:w="310" w:type="pct"/>
            <w:vMerge w:val="restart"/>
            <w:shd w:val="clear" w:color="000000" w:fill="8DB4E2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Numer warunku</w:t>
            </w:r>
          </w:p>
        </w:tc>
        <w:tc>
          <w:tcPr>
            <w:tcW w:w="3804" w:type="pct"/>
            <w:vMerge w:val="restart"/>
            <w:shd w:val="clear" w:color="000000" w:fill="8DB4E2"/>
            <w:noWrap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Treść warunku</w:t>
            </w:r>
          </w:p>
        </w:tc>
        <w:tc>
          <w:tcPr>
            <w:tcW w:w="443" w:type="pct"/>
            <w:shd w:val="clear" w:color="000000" w:fill="8DB4E2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Wybór</w:t>
            </w:r>
          </w:p>
        </w:tc>
        <w:tc>
          <w:tcPr>
            <w:tcW w:w="443" w:type="pct"/>
            <w:vMerge w:val="restart"/>
            <w:shd w:val="clear" w:color="000000" w:fill="8DB4E2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Liczba punków</w:t>
            </w:r>
          </w:p>
        </w:tc>
      </w:tr>
      <w:tr w:rsidR="00AB1765" w:rsidRPr="004C24E5" w:rsidTr="00E84409">
        <w:trPr>
          <w:trHeight w:val="720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000000" w:fill="C5D9F1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(prosimy zaznaczyć "X" wybór)</w:t>
            </w:r>
          </w:p>
        </w:tc>
        <w:tc>
          <w:tcPr>
            <w:tcW w:w="443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AC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– gwarantowana suma ubezpieczenia w rocznym okresie ubezpieczenia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włączenia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AC 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- włączenie do ochrony szkód wskutek prowadzenia pojazdu pod wpływem alkoholu lub środków odurzających (psychotropowych)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rozszerzenia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180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AC - Włączenie do ochrony klauzuli pojazdu bez nadzoru :</w:t>
            </w: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br/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Rozszerza się ochronę ubezpieczeniową o szkody powstałe na skutek kradzieży, części lub wyposażenia pojazdu lub zabrania pojazdu w celu krótkotrwałego użycia, gdy pojazd został pozostawiony bez nadzoru oraz: 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1) pozostawiono w pojeździe dokumenty (dowód rejestracyjny lub kartę pojazdu) lub kluczyki lub sterowniki służące do otwarcia lub uruchomienia pojazdu lub uruchomienia urządzeń zabezpieczających pojazd przed kradzieżą, lub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2) nie uruchomiono wszystkich wymaganych urządzeń zabezpieczających pojazd przed kradzieżą.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Limit:  2 zdarzenia w okresie obowiązywania umowy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</w:t>
            </w: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włączenia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41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AC - Włączenie klauzuli kosztów dodatkowych w brzmieniu:</w:t>
            </w: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br/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  zastrzeżeniem pozostałych, niezmienionych niniejszą klauzulą postanowień umowy ubezpieczenia oraz ogólnych warunków ubezpieczenia, uzgadnia się, że: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Ubezpieczyciel gwarantuje limit w wysokości 20 000,00 zł na jedno i wszystkie zdarzenia w ciągu każdego rocznego okresu ubezpieczenia na pokrycie następujących kosztów dodatkowych w trakcie trwania okresu ubezpieczenia: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• zapobieżenia zwiększeniu się szkody i zabezpieczenia pojazdu po szkodzie w tym uzasadnionej wymiany zamków i innych zabezpieczeń,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• holowania powypadkowego,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• postoju uszkodzonego pojazdu na parkingu,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• holowania pojazdu pomiędzy miejscem postoju uszkodzonego pojazdu na parkingu, a wskazanym przez Ubezpieczonych miejscem/serwisem naprawczym,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 xml:space="preserve">• obowiązkowego dodatkowego badania technicznego, o którym mowa w art. 81 ust. 8 pkt 4 ustawy z dnia 20 czerwca 1997 roku – Prawo o ruchu drogowym (Dz. U. 2020 r. poz. 110 z </w:t>
            </w:r>
            <w:proofErr w:type="spellStart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późn</w:t>
            </w:r>
            <w:proofErr w:type="spellEnd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 zm.), wykonanego w związku ze szkodą, za którą Ubezpieczyciel przyjął odpowiedzialność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25</w:t>
            </w:r>
          </w:p>
        </w:tc>
      </w:tr>
      <w:tr w:rsidR="00AB1765" w:rsidRPr="004C24E5" w:rsidTr="00E84409">
        <w:trPr>
          <w:trHeight w:val="270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włączenia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78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AC 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– Włączenie do ochrony klauzuli ładunkowej: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Wykonawca rozszerza odpowiedzialność o szkody powstałe w następstwie niewłaściwego załadowania i przewożenia ładunku, pod warunkiem, że był on umieszczony poza kabiną pasażerską pojazdu.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</w:tr>
      <w:tr w:rsidR="00AB1765" w:rsidRPr="004C24E5" w:rsidTr="00E84409">
        <w:trPr>
          <w:trHeight w:val="315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podwyższenia limitu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780"/>
        </w:trPr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ASS</w:t>
            </w: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- dla pojazdów nieobjętych ubezpieczeniem </w:t>
            </w:r>
            <w:proofErr w:type="spellStart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assistance</w:t>
            </w:r>
            <w:proofErr w:type="spellEnd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(lub objętych zakresem podstawowym </w:t>
            </w:r>
            <w:proofErr w:type="spellStart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assisntance</w:t>
            </w:r>
            <w:proofErr w:type="spellEnd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) oraz w przypadku niemożności zagwarantowania pełnego zakresu usług </w:t>
            </w:r>
            <w:proofErr w:type="spellStart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assistance</w:t>
            </w:r>
            <w:proofErr w:type="spellEnd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 stosunku do określonego rodzaju pojazdu dopuszczalna jest deklaracja pokrycia kosztów działań objętych zakresem </w:t>
            </w:r>
            <w:proofErr w:type="spellStart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assistance</w:t>
            </w:r>
            <w:proofErr w:type="spellEnd"/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które Ubezpieczony podejmie we własnym zakresie z ustaleniem limitu nie większego niż 2 000,00 zł na jedno i 5 000 zł na wszystkie zdarzenia w rocznym okresie ubezpieczenia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25</w:t>
            </w:r>
          </w:p>
        </w:tc>
      </w:tr>
      <w:tr w:rsidR="00AB1765" w:rsidRPr="004C24E5" w:rsidTr="00E84409">
        <w:trPr>
          <w:trHeight w:val="315"/>
        </w:trPr>
        <w:tc>
          <w:tcPr>
            <w:tcW w:w="310" w:type="pct"/>
            <w:vMerge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4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Brak włączenia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</w:t>
            </w:r>
          </w:p>
        </w:tc>
      </w:tr>
      <w:tr w:rsidR="00AB1765" w:rsidRPr="004C24E5" w:rsidTr="00E84409">
        <w:trPr>
          <w:trHeight w:val="285"/>
        </w:trPr>
        <w:tc>
          <w:tcPr>
            <w:tcW w:w="4114" w:type="pct"/>
            <w:gridSpan w:val="2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AB1765" w:rsidRPr="004C24E5" w:rsidRDefault="00AB1765" w:rsidP="00E844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4C24E5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</w:tbl>
    <w:p w:rsidR="00AB1765" w:rsidRDefault="00AB1765" w:rsidP="00AB1765">
      <w:pPr>
        <w:rPr>
          <w:rFonts w:ascii="Arial Narrow" w:hAnsi="Arial Narrow" w:cs="Arial"/>
          <w:sz w:val="20"/>
          <w:szCs w:val="20"/>
        </w:rPr>
      </w:pPr>
    </w:p>
    <w:p w:rsidR="00AB1765" w:rsidRDefault="00AB1765" w:rsidP="00AB1765">
      <w:pPr>
        <w:rPr>
          <w:rFonts w:ascii="Arial Narrow" w:hAnsi="Arial Narrow" w:cs="Arial"/>
          <w:sz w:val="20"/>
          <w:szCs w:val="20"/>
        </w:rPr>
      </w:pPr>
    </w:p>
    <w:p w:rsidR="00AB1765" w:rsidRDefault="00AB1765" w:rsidP="00AB176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B1765" w:rsidRDefault="00AB1765" w:rsidP="00AB1765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B1765" w:rsidRDefault="00AB1765" w:rsidP="00FC23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</w:t>
      </w:r>
    </w:p>
    <w:p w:rsidR="00FC2311" w:rsidRDefault="00AB1765" w:rsidP="00FC23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FC231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FC2311" w:rsidRDefault="00FC2311" w:rsidP="00FC23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7459A6" w:rsidRDefault="00FC2311" w:rsidP="00FC2311"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lub osoby uprawnionej do reprezentowania wykonawcy</w:t>
      </w:r>
    </w:p>
    <w:sectPr w:rsidR="007459A6" w:rsidSect="00AB176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A9" w:rsidRDefault="003E49A9" w:rsidP="00AB1765">
      <w:pPr>
        <w:spacing w:after="0" w:line="240" w:lineRule="auto"/>
      </w:pPr>
      <w:r>
        <w:separator/>
      </w:r>
    </w:p>
  </w:endnote>
  <w:endnote w:type="continuationSeparator" w:id="0">
    <w:p w:rsidR="003E49A9" w:rsidRDefault="003E49A9" w:rsidP="00AB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A9" w:rsidRDefault="003E49A9" w:rsidP="00AB1765">
      <w:pPr>
        <w:spacing w:after="0" w:line="240" w:lineRule="auto"/>
      </w:pPr>
      <w:r>
        <w:separator/>
      </w:r>
    </w:p>
  </w:footnote>
  <w:footnote w:type="continuationSeparator" w:id="0">
    <w:p w:rsidR="003E49A9" w:rsidRDefault="003E49A9" w:rsidP="00AB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765" w:rsidRDefault="00AB1765" w:rsidP="00AB1765">
    <w:pPr>
      <w:pStyle w:val="Nagwek"/>
      <w:jc w:val="right"/>
      <w:rPr>
        <w:rFonts w:ascii="Times New Roman" w:hAnsi="Times New Roman"/>
        <w:sz w:val="16"/>
        <w:szCs w:val="16"/>
      </w:rPr>
    </w:pPr>
    <w:r w:rsidRPr="002A20F3">
      <w:rPr>
        <w:rFonts w:ascii="Arial Narrow" w:hAnsi="Arial Narrow" w:cs="Arial"/>
        <w:b/>
        <w:sz w:val="16"/>
        <w:szCs w:val="16"/>
      </w:rPr>
      <w:t>Załącznik nr 1</w:t>
    </w:r>
    <w:r>
      <w:rPr>
        <w:rFonts w:ascii="Arial Narrow" w:hAnsi="Arial Narrow" w:cs="Arial"/>
        <w:b/>
        <w:sz w:val="16"/>
        <w:szCs w:val="16"/>
      </w:rPr>
      <w:t xml:space="preserve">.2 </w:t>
    </w:r>
    <w:r w:rsidRPr="002A20F3">
      <w:rPr>
        <w:rFonts w:ascii="Arial Narrow" w:hAnsi="Arial Narrow" w:cs="Arial"/>
        <w:b/>
        <w:sz w:val="16"/>
        <w:szCs w:val="16"/>
      </w:rPr>
      <w:t xml:space="preserve"> </w:t>
    </w:r>
    <w:r w:rsidRPr="002A20F3">
      <w:rPr>
        <w:rFonts w:ascii="Arial Narrow" w:hAnsi="Arial Narrow" w:cs="Arial"/>
        <w:sz w:val="16"/>
        <w:szCs w:val="16"/>
      </w:rPr>
      <w:t xml:space="preserve">do </w:t>
    </w:r>
    <w:r>
      <w:rPr>
        <w:rFonts w:ascii="Arial Narrow" w:hAnsi="Arial Narrow" w:cs="Arial"/>
        <w:sz w:val="16"/>
        <w:szCs w:val="16"/>
      </w:rPr>
      <w:t>Z</w:t>
    </w:r>
    <w:r w:rsidRPr="002A20F3">
      <w:rPr>
        <w:rFonts w:ascii="Arial Narrow" w:hAnsi="Arial Narrow" w:cs="Arial"/>
        <w:bCs/>
        <w:sz w:val="16"/>
        <w:szCs w:val="16"/>
      </w:rPr>
      <w:t>apytania ofertowego nr</w:t>
    </w:r>
    <w:r>
      <w:rPr>
        <w:rFonts w:ascii="Arial Narrow" w:hAnsi="Arial Narrow" w:cs="Arial"/>
        <w:bCs/>
        <w:sz w:val="20"/>
      </w:rPr>
      <w:t xml:space="preserve"> </w:t>
    </w:r>
    <w:r w:rsidRPr="00C4759C">
      <w:rPr>
        <w:rFonts w:ascii="Times New Roman" w:hAnsi="Times New Roman"/>
        <w:sz w:val="16"/>
        <w:szCs w:val="16"/>
      </w:rPr>
      <w:t>ZO/KA/ZK-DZP.263.027.2020</w:t>
    </w:r>
  </w:p>
  <w:p w:rsidR="00AB1765" w:rsidRDefault="00AB1765" w:rsidP="00AB1765">
    <w:pPr>
      <w:pStyle w:val="Nagwek"/>
      <w:jc w:val="right"/>
    </w:pPr>
    <w:r>
      <w:rPr>
        <w:rFonts w:ascii="Times New Roman" w:hAnsi="Times New Roman"/>
        <w:sz w:val="16"/>
        <w:szCs w:val="16"/>
      </w:rPr>
      <w:t>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65"/>
    <w:rsid w:val="003E49A9"/>
    <w:rsid w:val="007459A6"/>
    <w:rsid w:val="00883627"/>
    <w:rsid w:val="00AB1765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DB812-6F49-4D7E-BA58-252541E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76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7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7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2020-07-08T13:06:00Z</dcterms:created>
  <dcterms:modified xsi:type="dcterms:W3CDTF">2020-07-08T13:11:00Z</dcterms:modified>
</cp:coreProperties>
</file>