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042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chemicznych, szkła i sprzętu laboratoryjnego.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1F291E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001FDE">
              <w:rPr>
                <w:rFonts w:eastAsia="Times New Roman"/>
                <w:color w:val="000000"/>
                <w:lang w:val="en-US" w:eastAsia="pl-PL"/>
              </w:rPr>
              <w:t>ROS detection assay kit (DCFDA/H2DCFDA)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CC71DF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Zestaw (5x96)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001FDE">
              <w:rPr>
                <w:rFonts w:eastAsia="Times New Roman"/>
                <w:color w:val="000000"/>
                <w:lang w:val="en-US" w:eastAsia="pl-PL"/>
              </w:rPr>
              <w:t>Fast Break Cell Lysis Reagent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CC71DF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Op.60ml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001FDE">
              <w:rPr>
                <w:rFonts w:eastAsia="Times New Roman"/>
                <w:color w:val="000000"/>
                <w:lang w:val="en-US" w:eastAsia="pl-PL"/>
              </w:rPr>
              <w:t>BacTiter-Glo</w:t>
            </w:r>
            <w:r w:rsidRPr="00001FDE">
              <w:rPr>
                <w:rFonts w:eastAsia="Times New Roman"/>
                <w:color w:val="000000"/>
                <w:vertAlign w:val="superscript"/>
                <w:lang w:val="en-US" w:eastAsia="pl-PL"/>
              </w:rPr>
              <w:t>TM</w:t>
            </w:r>
            <w:r w:rsidRPr="00001FDE">
              <w:rPr>
                <w:rFonts w:eastAsia="Times New Roman"/>
                <w:color w:val="000000"/>
                <w:lang w:val="en-US" w:eastAsia="pl-PL"/>
              </w:rPr>
              <w:t xml:space="preserve"> Microbial Cell Viability Assay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Op.10mL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21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lastRenderedPageBreak/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0739A5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1F291E" w:rsidP="00B01F15">
            <w:pPr>
              <w:rPr>
                <w:rFonts w:ascii="Arial Narrow" w:hAnsi="Arial Narrow"/>
                <w:color w:val="000000"/>
              </w:rPr>
            </w:pPr>
            <w:r w:rsidRPr="001F291E">
              <w:rPr>
                <w:rFonts w:eastAsia="Times New Roman"/>
                <w:color w:val="000000"/>
                <w:lang w:eastAsia="pl-PL"/>
              </w:rPr>
              <w:t>Chicoric acid 98%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1F291E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F5DEA">
              <w:rPr>
                <w:rFonts w:ascii="Arial Narrow" w:eastAsia="Times New Roman" w:hAnsi="Arial Narrow"/>
                <w:color w:val="000000"/>
                <w:lang w:eastAsia="pl-PL"/>
              </w:rPr>
              <w:t>op.200mg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Pr="00D54995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  <w:u w:val="single"/>
        </w:rPr>
      </w:pPr>
      <w:r w:rsidRPr="00D54995">
        <w:rPr>
          <w:rFonts w:ascii="Arial Narrow" w:hAnsi="Arial Narrow" w:cs="Tahoma"/>
          <w:b/>
          <w:bCs/>
          <w:szCs w:val="20"/>
          <w:u w:val="single"/>
        </w:rPr>
        <w:t>Cz.</w:t>
      </w:r>
      <w:r w:rsidR="0037228F" w:rsidRPr="00D54995">
        <w:rPr>
          <w:rFonts w:ascii="Arial Narrow" w:hAnsi="Arial Narrow" w:cs="Tahoma"/>
          <w:b/>
          <w:bCs/>
          <w:szCs w:val="20"/>
          <w:u w:val="single"/>
        </w:rPr>
        <w:t xml:space="preserve"> </w:t>
      </w:r>
      <w:r w:rsidR="00D54995" w:rsidRPr="00D54995">
        <w:rPr>
          <w:rFonts w:ascii="Arial Narrow" w:hAnsi="Arial Narrow" w:cs="Tahoma"/>
          <w:b/>
          <w:bCs/>
          <w:szCs w:val="20"/>
          <w:u w:val="single"/>
        </w:rPr>
        <w:t>III</w:t>
      </w:r>
    </w:p>
    <w:p w:rsidR="00D54995" w:rsidRDefault="00D54995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276"/>
        <w:gridCol w:w="917"/>
        <w:gridCol w:w="567"/>
        <w:gridCol w:w="1276"/>
        <w:gridCol w:w="1417"/>
      </w:tblGrid>
      <w:tr w:rsidR="00FE3E93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E3E93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E3E93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1F291E" w:rsidRPr="004B4DA2" w:rsidTr="001F291E">
        <w:trPr>
          <w:trHeight w:val="577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Diclofenac sodium salt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5-hydroxydiclofenac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4-hydroxydiclofenac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2,5-dihydroxyphenylacetic acid  (homogentisic acid)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08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2-Hydroxyphenylacetic acid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60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3,4-dichloroaniline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Trizma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®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hydrochloride; BioPerformance Certified, cell culture tested,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Trizma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®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base: BioUltra for molecular biology , ≥99,8%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p-coumaric acid;  ≥98,0% 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2,2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`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-Azino-bis(3-ethylbenzo thiazoline-6-sulfonic acid) 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lastRenderedPageBreak/>
              <w:t>diammonium salt (ABTS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™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); ≥98%(HPLC)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2,4,6-Tris(2-pyridyl)-s-triazine (TPTZ); for spectrophotometric det. of Fe,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(±)-6-Hydroxy-2,5,7,8-tetramethylchromane-2-carboxylic acid (TROLOX) 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Iron (II) sulfate heptahydrate;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Iron (III) chloride ; reagent grade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Manganase(II) nitrate tetrahydrate for analysis EMSURE®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Potassium bromide; FT-IR grade,≥99% trace metals basis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Sodium phosphate dibasic dihydrate ; purum p.a. ,≥98%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Sodium phosphate monobasic monohydrate ; pur</w:t>
            </w:r>
            <w:r>
              <w:rPr>
                <w:rFonts w:eastAsia="Times New Roman"/>
                <w:color w:val="000000"/>
                <w:lang w:val="en-US" w:eastAsia="pl-PL"/>
              </w:rPr>
              <w:t>iss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p.a ACS reagent,. ,≥99%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Potassium peroxodisulfate; puris p.a. ACS reagent, ≥99,0% (RT)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ED52DB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L(+)-Ascorbic Acid; for anal</w:t>
            </w:r>
            <w:r>
              <w:rPr>
                <w:rFonts w:eastAsia="Times New Roman"/>
                <w:color w:val="000000"/>
                <w:lang w:val="en-US" w:eastAsia="pl-PL"/>
              </w:rPr>
              <w:t>y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sis EMSURE® ACS,ISO,Reag. </w:t>
            </w:r>
            <w:r w:rsidRPr="00ED52DB">
              <w:rPr>
                <w:rFonts w:eastAsia="Times New Roman"/>
                <w:color w:val="000000"/>
                <w:lang w:val="en-US" w:eastAsia="pl-PL"/>
              </w:rPr>
              <w:t>Ph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2-Deoxy-D-ribose;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β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-Glucosidase from almonds; lyophilized powder, ≥2 units/mg solid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Isovanillic acid;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4-hydroxy-3-methylbenzoic acid;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2-thiobarbituric acid; 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β-Cyclodextrin; ≥97%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(2-Hydroxypropyl)-</w:t>
            </w:r>
            <w:r w:rsidRPr="002C0142">
              <w:rPr>
                <w:rFonts w:eastAsia="Times New Roman"/>
                <w:color w:val="000000"/>
                <w:lang w:eastAsia="pl-PL"/>
              </w:rPr>
              <w:t>β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-Cyclodextrin; average M</w:t>
            </w:r>
            <w:r w:rsidRPr="002C0142">
              <w:rPr>
                <w:rFonts w:eastAsia="Times New Roman"/>
                <w:color w:val="000000"/>
                <w:vertAlign w:val="subscript"/>
                <w:lang w:val="en-US" w:eastAsia="pl-PL"/>
              </w:rPr>
              <w:t>W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~1,380: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2C0142">
              <w:rPr>
                <w:rFonts w:eastAsia="Times New Roman"/>
                <w:i/>
                <w:iCs/>
                <w:color w:val="000000"/>
                <w:lang w:eastAsia="pl-PL"/>
              </w:rPr>
              <w:t>o</w:t>
            </w:r>
            <w:r w:rsidRPr="002C0142">
              <w:rPr>
                <w:rFonts w:eastAsia="Times New Roman"/>
                <w:color w:val="000000"/>
                <w:lang w:eastAsia="pl-PL"/>
              </w:rPr>
              <w:t>-Vanillin;99%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2C0142">
              <w:rPr>
                <w:rFonts w:eastAsia="Times New Roman"/>
                <w:i/>
                <w:iCs/>
                <w:color w:val="000000"/>
                <w:lang w:eastAsia="pl-PL"/>
              </w:rPr>
              <w:t>p</w:t>
            </w:r>
            <w:r w:rsidRPr="002C0142">
              <w:rPr>
                <w:rFonts w:eastAsia="Times New Roman"/>
                <w:color w:val="000000"/>
                <w:lang w:eastAsia="pl-PL"/>
              </w:rPr>
              <w:t>-Anisaldehyde; 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2,2’-Azobis(2-methylpropion amidine) dihydrochloride; granular,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5,5-dimethyl-1,3-cyclohexanedione; 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2’,7’-Dichlorofluorescein diacetate; BioReagent,suitable for fluorescence, ≥95%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Ethylenediaminetetraacetic acid disodium salt d</w:t>
            </w:r>
            <w:r>
              <w:rPr>
                <w:rFonts w:eastAsia="Times New Roman"/>
                <w:color w:val="000000"/>
                <w:lang w:val="en-US" w:eastAsia="pl-PL"/>
              </w:rPr>
              <w:t>i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hydrate; for electrophoresis, 99,0-101,0% (titration)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1,1-Diphenyl-2-picrylhydrazyl radical (DPPH); ≥97%(HPLC)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B-Phycoerythrin, activated; suitable for fluorescence, BioReagent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Menthol; 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Kaempferol; ≥97,0% 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Galangin; autophagy inducing flavonoid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Alginic acid from brown algae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(R)-(+)-Limonene;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N-Dodecylpyridinium chloride for synthesis.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Neocuproine; 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E3E93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E3E93" w:rsidRPr="00AD76B6" w:rsidRDefault="00FE3E93" w:rsidP="00FE3E9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36149" w:rsidRDefault="00036149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IV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560"/>
        <w:gridCol w:w="917"/>
        <w:gridCol w:w="567"/>
        <w:gridCol w:w="1276"/>
        <w:gridCol w:w="1417"/>
      </w:tblGrid>
      <w:tr w:rsidR="0016062E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6062E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6062E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6062E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23D66">
              <w:rPr>
                <w:rFonts w:eastAsia="Times New Roman"/>
                <w:color w:val="000000"/>
                <w:lang w:eastAsia="pl-PL"/>
              </w:rPr>
              <w:t>Hexane; for HPLC, ≥95%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23D66">
              <w:rPr>
                <w:rFonts w:eastAsia="Times New Roman"/>
                <w:color w:val="000000"/>
                <w:lang w:eastAsia="pl-PL"/>
              </w:rPr>
              <w:t>Dichloromethane; for gas chromatography;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23D66">
              <w:rPr>
                <w:rFonts w:eastAsia="Times New Roman"/>
                <w:color w:val="000000"/>
                <w:lang w:eastAsia="pl-PL"/>
              </w:rPr>
              <w:t>Metanol czda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 xml:space="preserve">               op.2,5L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23D66">
              <w:rPr>
                <w:rFonts w:eastAsia="Times New Roman"/>
                <w:color w:val="000000"/>
                <w:lang w:eastAsia="pl-PL"/>
              </w:rPr>
              <w:t>Ethanol 96% , czda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V</w:t>
      </w:r>
    </w:p>
    <w:p w:rsidR="0027487F" w:rsidRPr="00206605" w:rsidRDefault="0027487F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276"/>
        <w:gridCol w:w="1768"/>
        <w:gridCol w:w="1417"/>
      </w:tblGrid>
      <w:tr w:rsidR="0027487F" w:rsidRPr="004B4DA2" w:rsidTr="00A33230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68" w:type="dxa"/>
          </w:tcPr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768" w:type="dxa"/>
            <w:vAlign w:val="center"/>
          </w:tcPr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Butelka z niebieską nakrętką,  gwintem GL45, bez</w:t>
            </w:r>
            <w:r>
              <w:rPr>
                <w:rFonts w:eastAsia="Times New Roman"/>
                <w:color w:val="000000"/>
                <w:lang w:eastAsia="pl-PL"/>
              </w:rPr>
              <w:t>barwne, ze szkła borokrzemowego</w:t>
            </w:r>
            <w:r w:rsidRPr="0087546E">
              <w:rPr>
                <w:rFonts w:eastAsia="Times New Roman"/>
                <w:color w:val="000000"/>
                <w:lang w:eastAsia="pl-PL"/>
              </w:rPr>
              <w:t>;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7546E">
              <w:rPr>
                <w:rFonts w:eastAsia="Times New Roman"/>
                <w:color w:val="000000"/>
                <w:lang w:eastAsia="pl-PL"/>
              </w:rPr>
              <w:t>poj.100ml,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Butelka z niebieską nakrętką,  gwintem GL45, oranż, ze szkła borokrzemowego; poj.100ml,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Butelka z niebieską nakrętką,  gwintem GL45, bezbarwne, ze szkła borokrzemowego ;poj.50ml,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Biureta z kranem teflonowym, igłowym, poj,50ml, klasa 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Probówki szklane,  16x1</w:t>
            </w:r>
            <w:r>
              <w:rPr>
                <w:rFonts w:eastAsia="Times New Roman"/>
                <w:color w:val="000000"/>
                <w:lang w:eastAsia="pl-PL"/>
              </w:rPr>
              <w:t>0</w:t>
            </w:r>
            <w:r w:rsidRPr="0087546E">
              <w:rPr>
                <w:rFonts w:eastAsia="Times New Roman"/>
                <w:color w:val="000000"/>
                <w:lang w:eastAsia="pl-PL"/>
              </w:rPr>
              <w:t>0 mm z nakrętką PP ; poj 12ml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Op.100szt.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5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Kolby miarowe szklane kl.A serii DURAN; poj.10ml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5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10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25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Moździerz porcelanowy szorstki 220ml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Tłuczek do moździerza porcelanowy ( wys.115 mm, śr główki 24mm)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Lejek szklany Buchnera, na papierowe sączki filtracyjne (śr. sączka </w:t>
            </w:r>
            <w:r>
              <w:rPr>
                <w:rFonts w:eastAsia="Times New Roman"/>
                <w:color w:val="000000"/>
                <w:lang w:eastAsia="pl-PL"/>
              </w:rPr>
              <w:t>min.</w:t>
            </w:r>
            <w:r w:rsidRPr="0087546E">
              <w:rPr>
                <w:rFonts w:eastAsia="Times New Roman"/>
                <w:color w:val="000000"/>
                <w:lang w:eastAsia="pl-PL"/>
              </w:rPr>
              <w:t>70mm)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uszczelki stożkowe GUKO; gumowe</w:t>
            </w:r>
            <w:r>
              <w:rPr>
                <w:rFonts w:eastAsia="Times New Roman"/>
                <w:color w:val="000000"/>
                <w:lang w:eastAsia="pl-PL"/>
              </w:rPr>
              <w:t>; szare;</w:t>
            </w:r>
            <w:r w:rsidRPr="0087546E">
              <w:rPr>
                <w:rFonts w:eastAsia="Times New Roman"/>
                <w:color w:val="000000"/>
                <w:lang w:eastAsia="pl-PL"/>
              </w:rPr>
              <w:t xml:space="preserve"> kompl=8szt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kompl.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Kuweta kwarcowa  10mm ( rozmiar zewn: 45x12,5x12,5 mm)</w:t>
            </w:r>
          </w:p>
          <w:p w:rsidR="00036149" w:rsidRPr="0087546E" w:rsidRDefault="00036149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lastRenderedPageBreak/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Statyw do probówek druciany, pokryty PE (ilość stanowisk-5x10; sr. otworów- 22mm)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VI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276"/>
        <w:gridCol w:w="1768"/>
        <w:gridCol w:w="1417"/>
      </w:tblGrid>
      <w:tr w:rsidR="0027487F" w:rsidRPr="004B4DA2" w:rsidTr="0027487F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68" w:type="dxa"/>
          </w:tcPr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27487F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768" w:type="dxa"/>
            <w:vAlign w:val="center"/>
          </w:tcPr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7487F" w:rsidRPr="004B4DA2" w:rsidTr="0027487F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Szalki Petriego 90x16, z napowietrzaniem, sterylne, op.480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768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27487F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Płytki do luminescencji 96-dołkowe, sterylne</w:t>
            </w:r>
            <w:r>
              <w:rPr>
                <w:rFonts w:eastAsia="Times New Roman"/>
                <w:color w:val="000000"/>
                <w:lang w:eastAsia="pl-PL"/>
              </w:rPr>
              <w:t>, białe; op.8/32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 kart.</w:t>
            </w:r>
          </w:p>
        </w:tc>
        <w:tc>
          <w:tcPr>
            <w:tcW w:w="1768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F291E" w:rsidRDefault="001F291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F291E" w:rsidRDefault="001F291E" w:rsidP="0016062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AE" w:rsidRDefault="006D12AE" w:rsidP="004226AF">
      <w:pPr>
        <w:spacing w:after="0" w:line="240" w:lineRule="auto"/>
      </w:pPr>
      <w:r>
        <w:separator/>
      </w:r>
    </w:p>
  </w:endnote>
  <w:endnote w:type="continuationSeparator" w:id="0">
    <w:p w:rsidR="006D12AE" w:rsidRDefault="006D12A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36149">
      <w:rPr>
        <w:noProof/>
      </w:rPr>
      <w:t>7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AE" w:rsidRDefault="006D12AE" w:rsidP="004226AF">
      <w:pPr>
        <w:spacing w:after="0" w:line="240" w:lineRule="auto"/>
      </w:pPr>
      <w:r>
        <w:separator/>
      </w:r>
    </w:p>
  </w:footnote>
  <w:footnote w:type="continuationSeparator" w:id="0">
    <w:p w:rsidR="006D12AE" w:rsidRDefault="006D12A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042.2019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219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24AC-CFA2-41B0-ABBC-CF1A7615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79</cp:revision>
  <cp:lastPrinted>2019-02-14T11:57:00Z</cp:lastPrinted>
  <dcterms:created xsi:type="dcterms:W3CDTF">2017-07-03T12:03:00Z</dcterms:created>
  <dcterms:modified xsi:type="dcterms:W3CDTF">2019-06-13T06:26:00Z</dcterms:modified>
</cp:coreProperties>
</file>